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8E0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Times New Roman" w:eastAsia="方正小标宋简体" w:cs="Times New Roman"/>
          <w:sz w:val="36"/>
          <w:szCs w:val="36"/>
          <w:lang w:eastAsia="zh-CN"/>
        </w:rPr>
      </w:pPr>
      <w:r>
        <w:rPr>
          <w:rFonts w:hint="eastAsia" w:ascii="方正小标宋简体" w:hAnsi="Times New Roman" w:eastAsia="方正小标宋简体" w:cs="Times New Roman"/>
          <w:sz w:val="36"/>
          <w:szCs w:val="36"/>
          <w:lang w:val="en-US" w:eastAsia="zh-CN"/>
        </w:rPr>
        <w:t>《葡萄避雨栽培技术规程</w:t>
      </w:r>
      <w:r>
        <w:rPr>
          <w:rFonts w:hint="eastAsia" w:ascii="方正小标宋简体" w:hAnsi="Times New Roman" w:eastAsia="方正小标宋简体" w:cs="Times New Roman"/>
          <w:sz w:val="36"/>
          <w:szCs w:val="36"/>
          <w:lang w:eastAsia="zh-CN"/>
        </w:rPr>
        <w:t>》</w:t>
      </w:r>
    </w:p>
    <w:p w14:paraId="403D7B23">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地方标准编制说明</w:t>
      </w:r>
    </w:p>
    <w:p w14:paraId="6BE8E158">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工作简况</w:t>
      </w:r>
    </w:p>
    <w:p w14:paraId="70090D5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1.任务来源</w:t>
      </w:r>
    </w:p>
    <w:p w14:paraId="25D524D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eastAsia="仿宋_GB2312"/>
          <w:bCs/>
          <w:sz w:val="32"/>
          <w:szCs w:val="32"/>
          <w:lang w:val="en-US" w:eastAsia="zh-CN"/>
        </w:rPr>
        <w:t>2024</w:t>
      </w:r>
      <w:r>
        <w:rPr>
          <w:rFonts w:hint="eastAsia" w:ascii="仿宋_GB2312" w:eastAsia="仿宋_GB2312"/>
          <w:bCs/>
          <w:sz w:val="32"/>
          <w:szCs w:val="32"/>
        </w:rPr>
        <w:t>年</w:t>
      </w:r>
      <w:r>
        <w:rPr>
          <w:rFonts w:hint="eastAsia" w:ascii="仿宋_GB2312" w:eastAsia="仿宋_GB2312"/>
          <w:bCs/>
          <w:sz w:val="32"/>
          <w:szCs w:val="32"/>
          <w:lang w:val="en-US" w:eastAsia="zh-CN"/>
        </w:rPr>
        <w:t>8</w:t>
      </w:r>
      <w:r>
        <w:rPr>
          <w:rFonts w:hint="eastAsia" w:ascii="仿宋_GB2312" w:eastAsia="仿宋_GB2312"/>
          <w:bCs/>
          <w:sz w:val="32"/>
          <w:szCs w:val="32"/>
        </w:rPr>
        <w:t>月</w:t>
      </w:r>
      <w:r>
        <w:rPr>
          <w:rFonts w:hint="eastAsia" w:ascii="仿宋_GB2312" w:eastAsia="仿宋_GB2312"/>
          <w:bCs/>
          <w:sz w:val="32"/>
          <w:szCs w:val="32"/>
          <w:lang w:val="en-US" w:eastAsia="zh-CN"/>
        </w:rPr>
        <w:t>30</w:t>
      </w:r>
      <w:r>
        <w:rPr>
          <w:rFonts w:hint="eastAsia" w:ascii="仿宋_GB2312" w:eastAsia="仿宋_GB2312"/>
          <w:bCs/>
          <w:sz w:val="32"/>
          <w:szCs w:val="32"/>
        </w:rPr>
        <w:t>日，由</w:t>
      </w:r>
      <w:r>
        <w:rPr>
          <w:rFonts w:hint="eastAsia" w:ascii="仿宋_GB2312" w:eastAsia="仿宋_GB2312"/>
          <w:bCs/>
          <w:sz w:val="32"/>
          <w:szCs w:val="32"/>
          <w:lang w:val="en-US" w:eastAsia="zh-CN"/>
        </w:rPr>
        <w:t>江西省农业科学院园艺研究所、江西省农业技术推广中心、吉安县农业产业发展中心</w:t>
      </w:r>
      <w:r>
        <w:rPr>
          <w:rFonts w:hint="eastAsia" w:ascii="仿宋_GB2312" w:eastAsia="仿宋_GB2312"/>
          <w:bCs/>
          <w:sz w:val="32"/>
          <w:szCs w:val="32"/>
        </w:rPr>
        <w:t>申请地方标准的立项，根据江西省市场监督管理局下达的</w:t>
      </w:r>
      <w:r>
        <w:rPr>
          <w:rFonts w:hint="eastAsia" w:ascii="仿宋_GB2312" w:eastAsia="仿宋_GB2312"/>
          <w:bCs/>
          <w:sz w:val="32"/>
          <w:szCs w:val="32"/>
          <w:lang w:val="en-US" w:eastAsia="zh-CN"/>
        </w:rPr>
        <w:t>关于2024年第十批拟立项地方标准制修订计划项目的公示</w:t>
      </w:r>
      <w:r>
        <w:rPr>
          <w:rFonts w:hint="eastAsia" w:ascii="仿宋_GB2312" w:eastAsia="仿宋_GB2312"/>
          <w:bCs/>
          <w:sz w:val="32"/>
          <w:szCs w:val="32"/>
        </w:rPr>
        <w:t>，批准《</w:t>
      </w:r>
      <w:r>
        <w:rPr>
          <w:rFonts w:hint="eastAsia" w:ascii="仿宋_GB2312" w:eastAsia="仿宋_GB2312"/>
          <w:bCs/>
          <w:sz w:val="32"/>
          <w:szCs w:val="32"/>
          <w:lang w:val="en-US" w:eastAsia="zh-CN"/>
        </w:rPr>
        <w:t>葡萄避雨栽培技术规程</w:t>
      </w:r>
      <w:r>
        <w:rPr>
          <w:rFonts w:hint="eastAsia" w:ascii="仿宋_GB2312" w:eastAsia="仿宋_GB2312"/>
          <w:bCs/>
          <w:sz w:val="32"/>
          <w:szCs w:val="32"/>
        </w:rPr>
        <w:t>》地方标准的</w:t>
      </w:r>
      <w:r>
        <w:rPr>
          <w:rFonts w:hint="eastAsia" w:ascii="仿宋_GB2312" w:hAnsi="仿宋_GB2312" w:eastAsia="仿宋_GB2312" w:cs="仿宋_GB2312"/>
          <w:bCs/>
          <w:sz w:val="32"/>
          <w:szCs w:val="32"/>
        </w:rPr>
        <w:t>制定</w:t>
      </w:r>
      <w:r>
        <w:rPr>
          <w:rFonts w:hint="eastAsia" w:ascii="仿宋_GB2312" w:hAnsi="仿宋_GB2312" w:eastAsia="仿宋_GB2312" w:cs="仿宋_GB2312"/>
          <w:bCs/>
          <w:sz w:val="32"/>
          <w:szCs w:val="32"/>
          <w:lang w:eastAsia="zh-CN"/>
        </w:rPr>
        <w:t>。</w:t>
      </w:r>
    </w:p>
    <w:p w14:paraId="2BA69269">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起草单位、协作单位</w:t>
      </w:r>
    </w:p>
    <w:p w14:paraId="1EF7FDA0">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起草单位：</w:t>
      </w:r>
      <w:r>
        <w:rPr>
          <w:rFonts w:hint="eastAsia" w:ascii="仿宋_GB2312" w:eastAsia="仿宋_GB2312"/>
          <w:sz w:val="32"/>
          <w:szCs w:val="32"/>
          <w:lang w:val="en-US" w:eastAsia="zh-CN"/>
        </w:rPr>
        <w:t>江西省农业科学院园艺研究所</w:t>
      </w:r>
    </w:p>
    <w:p w14:paraId="33D2D53B">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协作单位：</w:t>
      </w:r>
      <w:r>
        <w:rPr>
          <w:rFonts w:hint="eastAsia" w:ascii="仿宋_GB2312" w:eastAsia="仿宋_GB2312"/>
          <w:bCs/>
          <w:sz w:val="32"/>
          <w:szCs w:val="32"/>
          <w:lang w:val="en-US" w:eastAsia="zh-CN"/>
        </w:rPr>
        <w:t>江西省农业技术推广中心、吉安县农业产业发展中心</w:t>
      </w:r>
    </w:p>
    <w:p w14:paraId="1B8569AD">
      <w:pPr>
        <w:ind w:firstLine="640" w:firstLineChars="200"/>
        <w:rPr>
          <w:rFonts w:hint="eastAsia" w:ascii="仿宋_GB2312" w:eastAsia="仿宋_GB2312"/>
          <w:sz w:val="32"/>
          <w:szCs w:val="32"/>
        </w:rPr>
      </w:pPr>
      <w:r>
        <w:rPr>
          <w:rFonts w:hint="eastAsia" w:ascii="仿宋_GB2312" w:eastAsia="仿宋_GB2312"/>
          <w:sz w:val="32"/>
          <w:szCs w:val="32"/>
        </w:rPr>
        <w:t>3.主要起草人(以表格形式将内容明确)</w:t>
      </w:r>
    </w:p>
    <w:tbl>
      <w:tblPr>
        <w:tblStyle w:val="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900"/>
        <w:gridCol w:w="1845"/>
        <w:gridCol w:w="2220"/>
        <w:gridCol w:w="1936"/>
      </w:tblGrid>
      <w:tr w14:paraId="3442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center"/>
          </w:tcPr>
          <w:p w14:paraId="4B3B624F">
            <w:pPr>
              <w:jc w:val="center"/>
              <w:rPr>
                <w:rFonts w:hint="eastAsia" w:ascii="仿宋_GB2312" w:eastAsia="仿宋_GB2312"/>
                <w:sz w:val="30"/>
                <w:szCs w:val="30"/>
              </w:rPr>
            </w:pPr>
            <w:r>
              <w:rPr>
                <w:rFonts w:hint="eastAsia" w:ascii="仿宋_GB2312" w:eastAsia="仿宋_GB2312"/>
                <w:sz w:val="30"/>
                <w:szCs w:val="30"/>
              </w:rPr>
              <w:t>姓 名</w:t>
            </w:r>
          </w:p>
        </w:tc>
        <w:tc>
          <w:tcPr>
            <w:tcW w:w="900" w:type="dxa"/>
            <w:shd w:val="clear" w:color="auto" w:fill="auto"/>
            <w:noWrap w:val="0"/>
            <w:vAlign w:val="center"/>
          </w:tcPr>
          <w:p w14:paraId="45C95D74">
            <w:pPr>
              <w:jc w:val="center"/>
              <w:rPr>
                <w:rFonts w:hint="eastAsia" w:ascii="仿宋_GB2312" w:eastAsia="仿宋_GB2312"/>
                <w:sz w:val="30"/>
                <w:szCs w:val="30"/>
              </w:rPr>
            </w:pPr>
            <w:r>
              <w:rPr>
                <w:rFonts w:hint="eastAsia" w:ascii="仿宋_GB2312" w:eastAsia="仿宋_GB2312"/>
                <w:sz w:val="30"/>
                <w:szCs w:val="30"/>
              </w:rPr>
              <w:t>性别</w:t>
            </w:r>
          </w:p>
        </w:tc>
        <w:tc>
          <w:tcPr>
            <w:tcW w:w="1845" w:type="dxa"/>
            <w:shd w:val="clear" w:color="auto" w:fill="auto"/>
            <w:noWrap w:val="0"/>
            <w:vAlign w:val="center"/>
          </w:tcPr>
          <w:p w14:paraId="7C2DE57C">
            <w:pPr>
              <w:jc w:val="center"/>
              <w:rPr>
                <w:rFonts w:hint="eastAsia" w:ascii="仿宋_GB2312" w:eastAsia="仿宋_GB2312"/>
                <w:sz w:val="30"/>
                <w:szCs w:val="30"/>
              </w:rPr>
            </w:pPr>
            <w:r>
              <w:rPr>
                <w:rFonts w:hint="eastAsia" w:ascii="仿宋_GB2312" w:eastAsia="仿宋_GB2312"/>
                <w:sz w:val="30"/>
                <w:szCs w:val="30"/>
              </w:rPr>
              <w:t>职务/职称</w:t>
            </w:r>
          </w:p>
        </w:tc>
        <w:tc>
          <w:tcPr>
            <w:tcW w:w="2220" w:type="dxa"/>
            <w:shd w:val="clear" w:color="auto" w:fill="auto"/>
            <w:noWrap w:val="0"/>
            <w:vAlign w:val="center"/>
          </w:tcPr>
          <w:p w14:paraId="4CCF721B">
            <w:pPr>
              <w:jc w:val="center"/>
              <w:rPr>
                <w:rFonts w:hint="eastAsia" w:ascii="仿宋_GB2312" w:eastAsia="仿宋_GB2312"/>
                <w:sz w:val="30"/>
                <w:szCs w:val="30"/>
              </w:rPr>
            </w:pPr>
            <w:r>
              <w:rPr>
                <w:rFonts w:hint="eastAsia" w:ascii="仿宋_GB2312" w:eastAsia="仿宋_GB2312"/>
                <w:sz w:val="30"/>
                <w:szCs w:val="30"/>
              </w:rPr>
              <w:t>工作单位</w:t>
            </w:r>
          </w:p>
        </w:tc>
        <w:tc>
          <w:tcPr>
            <w:tcW w:w="1936" w:type="dxa"/>
            <w:shd w:val="clear" w:color="auto" w:fill="auto"/>
            <w:noWrap w:val="0"/>
            <w:vAlign w:val="center"/>
          </w:tcPr>
          <w:p w14:paraId="1D61EF1E">
            <w:pPr>
              <w:jc w:val="center"/>
              <w:rPr>
                <w:rFonts w:hint="eastAsia" w:ascii="仿宋_GB2312" w:eastAsia="仿宋_GB2312"/>
                <w:sz w:val="30"/>
                <w:szCs w:val="30"/>
              </w:rPr>
            </w:pPr>
            <w:r>
              <w:rPr>
                <w:rFonts w:hint="eastAsia" w:ascii="仿宋_GB2312" w:eastAsia="仿宋_GB2312"/>
                <w:sz w:val="30"/>
                <w:szCs w:val="30"/>
              </w:rPr>
              <w:t>任务分工</w:t>
            </w:r>
          </w:p>
        </w:tc>
      </w:tr>
      <w:tr w14:paraId="267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000BC0E6">
            <w:pPr>
              <w:rPr>
                <w:rFonts w:hint="eastAsia" w:ascii="仿宋_GB2312" w:eastAsia="仿宋_GB2312"/>
                <w:sz w:val="32"/>
                <w:szCs w:val="32"/>
                <w:lang w:val="en-US" w:eastAsia="zh-CN"/>
              </w:rPr>
            </w:pPr>
            <w:r>
              <w:rPr>
                <w:rFonts w:hint="eastAsia" w:ascii="仿宋_GB2312" w:eastAsia="仿宋_GB2312"/>
                <w:sz w:val="32"/>
                <w:szCs w:val="32"/>
                <w:lang w:val="en-US" w:eastAsia="zh-CN"/>
              </w:rPr>
              <w:t>陶慧慧</w:t>
            </w:r>
          </w:p>
        </w:tc>
        <w:tc>
          <w:tcPr>
            <w:tcW w:w="900" w:type="dxa"/>
            <w:shd w:val="clear" w:color="auto" w:fill="auto"/>
            <w:noWrap w:val="0"/>
            <w:vAlign w:val="top"/>
          </w:tcPr>
          <w:p w14:paraId="043FFBE2">
            <w:pPr>
              <w:rPr>
                <w:rFonts w:hint="default" w:ascii="仿宋_GB2312" w:eastAsia="仿宋_GB2312"/>
                <w:sz w:val="32"/>
                <w:szCs w:val="32"/>
                <w:lang w:val="en-US" w:eastAsia="zh-CN"/>
              </w:rPr>
            </w:pPr>
            <w:r>
              <w:rPr>
                <w:rFonts w:hint="eastAsia" w:ascii="仿宋_GB2312" w:eastAsia="仿宋_GB2312"/>
                <w:sz w:val="32"/>
                <w:szCs w:val="32"/>
                <w:lang w:val="en-US" w:eastAsia="zh-CN"/>
              </w:rPr>
              <w:t>女</w:t>
            </w:r>
          </w:p>
        </w:tc>
        <w:tc>
          <w:tcPr>
            <w:tcW w:w="1845" w:type="dxa"/>
            <w:shd w:val="clear" w:color="auto" w:fill="auto"/>
            <w:noWrap w:val="0"/>
            <w:vAlign w:val="top"/>
          </w:tcPr>
          <w:p w14:paraId="30ABB6CB">
            <w:pPr>
              <w:rPr>
                <w:rFonts w:hint="default" w:ascii="仿宋_GB2312" w:eastAsia="仿宋_GB2312"/>
                <w:sz w:val="32"/>
                <w:szCs w:val="32"/>
                <w:lang w:val="en-US" w:eastAsia="zh-CN"/>
              </w:rPr>
            </w:pPr>
            <w:r>
              <w:rPr>
                <w:rFonts w:hint="eastAsia" w:ascii="仿宋_GB2312" w:eastAsia="仿宋_GB2312"/>
                <w:sz w:val="32"/>
                <w:szCs w:val="32"/>
                <w:lang w:val="en-US" w:eastAsia="zh-CN"/>
              </w:rPr>
              <w:t>助理研究员</w:t>
            </w:r>
          </w:p>
        </w:tc>
        <w:tc>
          <w:tcPr>
            <w:tcW w:w="2220" w:type="dxa"/>
            <w:shd w:val="clear" w:color="auto" w:fill="auto"/>
            <w:noWrap w:val="0"/>
            <w:vAlign w:val="top"/>
          </w:tcPr>
          <w:p w14:paraId="77983760">
            <w:pPr>
              <w:rPr>
                <w:rFonts w:hint="default"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47DBCA60">
            <w:pPr>
              <w:rPr>
                <w:rFonts w:hint="default" w:ascii="仿宋_GB2312" w:eastAsia="仿宋_GB2312"/>
                <w:sz w:val="30"/>
                <w:szCs w:val="30"/>
                <w:lang w:val="en-US" w:eastAsia="zh-CN"/>
              </w:rPr>
            </w:pPr>
            <w:r>
              <w:rPr>
                <w:rFonts w:hint="eastAsia" w:ascii="仿宋_GB2312" w:eastAsia="仿宋_GB2312"/>
                <w:sz w:val="30"/>
                <w:szCs w:val="30"/>
                <w:lang w:val="en-US" w:eastAsia="zh-CN"/>
              </w:rPr>
              <w:t>项目总负责人</w:t>
            </w:r>
          </w:p>
        </w:tc>
      </w:tr>
      <w:tr w14:paraId="59AB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79D939C7">
            <w:pPr>
              <w:rPr>
                <w:rFonts w:hint="default" w:ascii="仿宋_GB2312" w:eastAsia="仿宋_GB2312"/>
                <w:sz w:val="32"/>
                <w:szCs w:val="32"/>
                <w:lang w:val="en-US" w:eastAsia="zh-CN"/>
              </w:rPr>
            </w:pPr>
            <w:r>
              <w:rPr>
                <w:rFonts w:hint="eastAsia" w:ascii="仿宋_GB2312" w:eastAsia="仿宋_GB2312"/>
                <w:sz w:val="32"/>
                <w:szCs w:val="32"/>
                <w:lang w:val="en-US" w:eastAsia="zh-CN"/>
              </w:rPr>
              <w:t>邱家洪</w:t>
            </w:r>
          </w:p>
        </w:tc>
        <w:tc>
          <w:tcPr>
            <w:tcW w:w="900" w:type="dxa"/>
            <w:shd w:val="clear" w:color="auto" w:fill="auto"/>
            <w:noWrap w:val="0"/>
            <w:vAlign w:val="top"/>
          </w:tcPr>
          <w:p w14:paraId="166642A1">
            <w:pPr>
              <w:rPr>
                <w:rFonts w:hint="eastAsia"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26D576E3">
            <w:pPr>
              <w:rPr>
                <w:rFonts w:hint="default" w:ascii="仿宋_GB2312" w:eastAsia="仿宋_GB2312"/>
                <w:sz w:val="32"/>
                <w:szCs w:val="32"/>
                <w:lang w:val="en-US" w:eastAsia="zh-CN"/>
              </w:rPr>
            </w:pPr>
            <w:r>
              <w:rPr>
                <w:rFonts w:hint="eastAsia" w:ascii="仿宋_GB2312" w:eastAsia="仿宋_GB2312"/>
                <w:sz w:val="32"/>
                <w:szCs w:val="32"/>
                <w:lang w:val="en-US" w:eastAsia="zh-CN"/>
              </w:rPr>
              <w:t>副研究员</w:t>
            </w:r>
          </w:p>
        </w:tc>
        <w:tc>
          <w:tcPr>
            <w:tcW w:w="2220" w:type="dxa"/>
            <w:shd w:val="clear" w:color="auto" w:fill="auto"/>
            <w:noWrap w:val="0"/>
            <w:vAlign w:val="top"/>
          </w:tcPr>
          <w:p w14:paraId="46232F55">
            <w:pPr>
              <w:rPr>
                <w:rFonts w:hint="eastAsia"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55C63FFA">
            <w:pPr>
              <w:rPr>
                <w:rFonts w:hint="default" w:ascii="仿宋_GB2312" w:eastAsia="仿宋_GB2312"/>
                <w:sz w:val="30"/>
                <w:szCs w:val="30"/>
                <w:lang w:val="en-US" w:eastAsia="zh-CN"/>
              </w:rPr>
            </w:pPr>
            <w:r>
              <w:rPr>
                <w:rFonts w:hint="eastAsia" w:ascii="仿宋_GB2312" w:eastAsia="仿宋_GB2312"/>
                <w:sz w:val="30"/>
                <w:szCs w:val="30"/>
                <w:lang w:val="en-US" w:eastAsia="zh-CN"/>
              </w:rPr>
              <w:t>标准应用试验、技术把关</w:t>
            </w:r>
          </w:p>
        </w:tc>
      </w:tr>
      <w:tr w14:paraId="3EF6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4F5C6E09">
            <w:pPr>
              <w:rPr>
                <w:rFonts w:hint="default" w:ascii="仿宋_GB2312" w:eastAsia="仿宋_GB2312"/>
                <w:sz w:val="32"/>
                <w:szCs w:val="32"/>
                <w:lang w:val="en-US" w:eastAsia="zh-CN"/>
              </w:rPr>
            </w:pPr>
            <w:r>
              <w:rPr>
                <w:rFonts w:hint="eastAsia" w:ascii="仿宋_GB2312" w:eastAsia="仿宋_GB2312"/>
                <w:sz w:val="32"/>
                <w:szCs w:val="32"/>
                <w:lang w:val="en-US" w:eastAsia="zh-CN"/>
              </w:rPr>
              <w:t>徐超</w:t>
            </w:r>
          </w:p>
        </w:tc>
        <w:tc>
          <w:tcPr>
            <w:tcW w:w="900" w:type="dxa"/>
            <w:shd w:val="clear" w:color="auto" w:fill="auto"/>
            <w:noWrap w:val="0"/>
            <w:vAlign w:val="top"/>
          </w:tcPr>
          <w:p w14:paraId="0341E428">
            <w:pPr>
              <w:rPr>
                <w:rFonts w:hint="default"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4E72C694">
            <w:pPr>
              <w:rPr>
                <w:rFonts w:hint="default" w:ascii="仿宋_GB2312" w:eastAsia="仿宋_GB2312"/>
                <w:sz w:val="32"/>
                <w:szCs w:val="32"/>
                <w:lang w:val="en-US" w:eastAsia="zh-CN"/>
              </w:rPr>
            </w:pPr>
            <w:r>
              <w:rPr>
                <w:rFonts w:hint="eastAsia" w:ascii="仿宋_GB2312" w:eastAsia="仿宋_GB2312"/>
                <w:sz w:val="32"/>
                <w:szCs w:val="32"/>
                <w:lang w:val="en-US" w:eastAsia="zh-CN"/>
              </w:rPr>
              <w:t>助理研究员</w:t>
            </w:r>
          </w:p>
        </w:tc>
        <w:tc>
          <w:tcPr>
            <w:tcW w:w="2220" w:type="dxa"/>
            <w:shd w:val="clear" w:color="auto" w:fill="auto"/>
            <w:noWrap w:val="0"/>
            <w:vAlign w:val="top"/>
          </w:tcPr>
          <w:p w14:paraId="3F80E84A">
            <w:pPr>
              <w:rPr>
                <w:rFonts w:hint="eastAsia"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7F0C5503">
            <w:pPr>
              <w:rPr>
                <w:rFonts w:hint="default" w:ascii="仿宋_GB2312" w:eastAsia="仿宋_GB2312"/>
                <w:sz w:val="30"/>
                <w:szCs w:val="30"/>
                <w:lang w:val="en-US" w:eastAsia="zh-CN"/>
              </w:rPr>
            </w:pPr>
            <w:r>
              <w:rPr>
                <w:rFonts w:hint="eastAsia" w:ascii="仿宋_GB2312" w:eastAsia="仿宋_GB2312"/>
                <w:sz w:val="30"/>
                <w:szCs w:val="30"/>
                <w:lang w:val="en-US" w:eastAsia="zh-CN"/>
              </w:rPr>
              <w:t>参与标准编制、标准应用试验</w:t>
            </w:r>
          </w:p>
        </w:tc>
      </w:tr>
      <w:tr w14:paraId="76758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1AB5004D">
            <w:pPr>
              <w:rPr>
                <w:rFonts w:hint="default" w:ascii="仿宋_GB2312" w:eastAsia="仿宋_GB2312"/>
                <w:sz w:val="32"/>
                <w:szCs w:val="32"/>
                <w:lang w:val="en-US" w:eastAsia="zh-CN"/>
              </w:rPr>
            </w:pPr>
            <w:r>
              <w:rPr>
                <w:rFonts w:hint="eastAsia" w:ascii="仿宋_GB2312" w:eastAsia="仿宋_GB2312"/>
                <w:sz w:val="32"/>
                <w:szCs w:val="32"/>
                <w:lang w:val="en-US" w:eastAsia="zh-CN"/>
              </w:rPr>
              <w:t>李国权</w:t>
            </w:r>
          </w:p>
        </w:tc>
        <w:tc>
          <w:tcPr>
            <w:tcW w:w="900" w:type="dxa"/>
            <w:shd w:val="clear" w:color="auto" w:fill="auto"/>
            <w:noWrap w:val="0"/>
            <w:vAlign w:val="top"/>
          </w:tcPr>
          <w:p w14:paraId="4DA6635B">
            <w:pPr>
              <w:rPr>
                <w:rFonts w:hint="eastAsia"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1017A65C">
            <w:pPr>
              <w:rPr>
                <w:rFonts w:hint="default" w:ascii="仿宋_GB2312" w:eastAsia="仿宋_GB2312"/>
                <w:sz w:val="32"/>
                <w:szCs w:val="32"/>
                <w:lang w:val="en-US" w:eastAsia="zh-CN"/>
              </w:rPr>
            </w:pPr>
            <w:r>
              <w:rPr>
                <w:rFonts w:hint="eastAsia" w:ascii="仿宋_GB2312" w:eastAsia="仿宋_GB2312"/>
                <w:sz w:val="32"/>
                <w:szCs w:val="32"/>
                <w:lang w:val="en-US" w:eastAsia="zh-CN"/>
              </w:rPr>
              <w:t>副研究员</w:t>
            </w:r>
          </w:p>
        </w:tc>
        <w:tc>
          <w:tcPr>
            <w:tcW w:w="2220" w:type="dxa"/>
            <w:shd w:val="clear" w:color="auto" w:fill="auto"/>
            <w:noWrap w:val="0"/>
            <w:vAlign w:val="top"/>
          </w:tcPr>
          <w:p w14:paraId="67666723">
            <w:pPr>
              <w:rPr>
                <w:rFonts w:hint="eastAsia" w:ascii="仿宋_GB2312" w:eastAsia="仿宋_GB2312"/>
                <w:sz w:val="32"/>
                <w:szCs w:val="32"/>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5CDF25F0">
            <w:pPr>
              <w:rPr>
                <w:rFonts w:hint="default" w:ascii="仿宋_GB2312" w:eastAsia="仿宋_GB2312"/>
                <w:sz w:val="30"/>
                <w:szCs w:val="30"/>
                <w:lang w:val="en-US" w:eastAsia="zh-CN"/>
              </w:rPr>
            </w:pPr>
            <w:r>
              <w:rPr>
                <w:rFonts w:hint="eastAsia" w:ascii="仿宋_GB2312" w:eastAsia="仿宋_GB2312"/>
                <w:sz w:val="30"/>
                <w:szCs w:val="30"/>
                <w:lang w:val="en-US" w:eastAsia="zh-CN"/>
              </w:rPr>
              <w:t>参与标准编制、标准应用试验</w:t>
            </w:r>
          </w:p>
        </w:tc>
      </w:tr>
      <w:tr w14:paraId="2C63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7CB970BF">
            <w:pPr>
              <w:rPr>
                <w:rFonts w:hint="default" w:ascii="仿宋_GB2312" w:eastAsia="仿宋_GB2312"/>
                <w:sz w:val="32"/>
                <w:szCs w:val="32"/>
                <w:lang w:val="en-US" w:eastAsia="zh-CN"/>
              </w:rPr>
            </w:pPr>
            <w:r>
              <w:rPr>
                <w:rFonts w:hint="eastAsia" w:ascii="仿宋_GB2312" w:eastAsia="仿宋_GB2312"/>
                <w:sz w:val="32"/>
                <w:szCs w:val="32"/>
                <w:lang w:val="en-US" w:eastAsia="zh-CN"/>
              </w:rPr>
              <w:t>曾维维</w:t>
            </w:r>
          </w:p>
        </w:tc>
        <w:tc>
          <w:tcPr>
            <w:tcW w:w="900" w:type="dxa"/>
            <w:shd w:val="clear" w:color="auto" w:fill="auto"/>
            <w:noWrap w:val="0"/>
            <w:vAlign w:val="top"/>
          </w:tcPr>
          <w:p w14:paraId="2F3CF9B3">
            <w:pPr>
              <w:rPr>
                <w:rFonts w:hint="eastAsia"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5A3EF779">
            <w:pPr>
              <w:rPr>
                <w:rFonts w:hint="default" w:ascii="仿宋_GB2312" w:eastAsia="仿宋_GB2312"/>
                <w:sz w:val="32"/>
                <w:szCs w:val="32"/>
                <w:lang w:val="en-US" w:eastAsia="zh-CN"/>
              </w:rPr>
            </w:pPr>
            <w:r>
              <w:rPr>
                <w:rFonts w:hint="eastAsia" w:ascii="仿宋_GB2312" w:eastAsia="仿宋_GB2312"/>
                <w:sz w:val="32"/>
                <w:szCs w:val="32"/>
                <w:lang w:val="en-US" w:eastAsia="zh-CN"/>
              </w:rPr>
              <w:t>助理农艺师</w:t>
            </w:r>
          </w:p>
        </w:tc>
        <w:tc>
          <w:tcPr>
            <w:tcW w:w="2220" w:type="dxa"/>
            <w:shd w:val="clear" w:color="auto" w:fill="auto"/>
            <w:noWrap w:val="0"/>
            <w:vAlign w:val="top"/>
          </w:tcPr>
          <w:p w14:paraId="26989E5B">
            <w:pPr>
              <w:rPr>
                <w:rFonts w:hint="default" w:ascii="仿宋_GB2312" w:eastAsia="仿宋_GB2312"/>
                <w:sz w:val="32"/>
                <w:szCs w:val="32"/>
                <w:lang w:val="en-US" w:eastAsia="zh-CN"/>
              </w:rPr>
            </w:pPr>
            <w:r>
              <w:rPr>
                <w:rFonts w:hint="eastAsia" w:ascii="仿宋_GB2312" w:eastAsia="仿宋_GB2312"/>
                <w:sz w:val="32"/>
                <w:szCs w:val="32"/>
                <w:lang w:val="en-US" w:eastAsia="zh-CN"/>
              </w:rPr>
              <w:t>江西省农业技术推广中心</w:t>
            </w:r>
          </w:p>
        </w:tc>
        <w:tc>
          <w:tcPr>
            <w:tcW w:w="1936" w:type="dxa"/>
            <w:shd w:val="clear" w:color="auto" w:fill="auto"/>
            <w:noWrap w:val="0"/>
            <w:vAlign w:val="top"/>
          </w:tcPr>
          <w:p w14:paraId="74D83BF2">
            <w:pPr>
              <w:rPr>
                <w:rFonts w:hint="default" w:ascii="仿宋_GB2312" w:eastAsia="仿宋_GB2312"/>
                <w:sz w:val="32"/>
                <w:szCs w:val="32"/>
                <w:lang w:val="en-US"/>
              </w:rPr>
            </w:pPr>
            <w:r>
              <w:rPr>
                <w:rFonts w:hint="eastAsia" w:ascii="仿宋_GB2312" w:eastAsia="仿宋_GB2312"/>
                <w:sz w:val="30"/>
                <w:szCs w:val="30"/>
                <w:lang w:val="en-US" w:eastAsia="zh-CN"/>
              </w:rPr>
              <w:t>标准应用试验</w:t>
            </w:r>
          </w:p>
        </w:tc>
      </w:tr>
      <w:tr w14:paraId="291D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1EFEA46B">
            <w:pPr>
              <w:rPr>
                <w:rFonts w:hint="default" w:ascii="仿宋_GB2312" w:eastAsia="仿宋_GB2312"/>
                <w:sz w:val="32"/>
                <w:szCs w:val="32"/>
                <w:lang w:val="en-US" w:eastAsia="zh-CN"/>
              </w:rPr>
            </w:pPr>
            <w:r>
              <w:rPr>
                <w:rFonts w:hint="eastAsia" w:ascii="仿宋_GB2312" w:eastAsia="仿宋_GB2312"/>
                <w:sz w:val="32"/>
                <w:szCs w:val="32"/>
                <w:lang w:val="en-US" w:eastAsia="zh-CN"/>
              </w:rPr>
              <w:t>邓万良</w:t>
            </w:r>
          </w:p>
        </w:tc>
        <w:tc>
          <w:tcPr>
            <w:tcW w:w="900" w:type="dxa"/>
            <w:shd w:val="clear" w:color="auto" w:fill="auto"/>
            <w:noWrap w:val="0"/>
            <w:vAlign w:val="top"/>
          </w:tcPr>
          <w:p w14:paraId="52406ED1">
            <w:pPr>
              <w:rPr>
                <w:rFonts w:hint="default"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3BBC8712">
            <w:pPr>
              <w:rPr>
                <w:rFonts w:hint="default" w:ascii="仿宋_GB2312" w:eastAsia="仿宋_GB2312"/>
                <w:sz w:val="32"/>
                <w:szCs w:val="32"/>
                <w:lang w:val="en-US" w:eastAsia="zh-CN"/>
              </w:rPr>
            </w:pPr>
            <w:r>
              <w:rPr>
                <w:rFonts w:hint="eastAsia" w:ascii="仿宋_GB2312" w:eastAsia="仿宋_GB2312"/>
                <w:sz w:val="32"/>
                <w:szCs w:val="32"/>
                <w:lang w:val="en-US" w:eastAsia="zh-CN"/>
              </w:rPr>
              <w:t>高级农艺师</w:t>
            </w:r>
          </w:p>
        </w:tc>
        <w:tc>
          <w:tcPr>
            <w:tcW w:w="2220" w:type="dxa"/>
            <w:shd w:val="clear" w:color="auto" w:fill="auto"/>
            <w:noWrap w:val="0"/>
            <w:vAlign w:val="top"/>
          </w:tcPr>
          <w:p w14:paraId="395D312F">
            <w:pPr>
              <w:rPr>
                <w:rFonts w:hint="default" w:ascii="仿宋_GB2312" w:eastAsia="仿宋_GB2312"/>
                <w:sz w:val="32"/>
                <w:szCs w:val="32"/>
                <w:lang w:val="en-US" w:eastAsia="zh-CN"/>
              </w:rPr>
            </w:pPr>
            <w:r>
              <w:rPr>
                <w:rFonts w:hint="eastAsia" w:ascii="仿宋_GB2312" w:eastAsia="仿宋_GB2312"/>
                <w:sz w:val="32"/>
                <w:szCs w:val="32"/>
                <w:lang w:val="en-US" w:eastAsia="zh-CN"/>
              </w:rPr>
              <w:t>吉安县农业产业发展中心</w:t>
            </w:r>
          </w:p>
        </w:tc>
        <w:tc>
          <w:tcPr>
            <w:tcW w:w="1936" w:type="dxa"/>
            <w:shd w:val="clear" w:color="auto" w:fill="auto"/>
            <w:noWrap w:val="0"/>
            <w:vAlign w:val="top"/>
          </w:tcPr>
          <w:p w14:paraId="13F272CE">
            <w:pPr>
              <w:rPr>
                <w:rFonts w:hint="eastAsia" w:ascii="仿宋_GB2312" w:eastAsia="仿宋_GB2312"/>
                <w:sz w:val="30"/>
                <w:szCs w:val="30"/>
                <w:lang w:val="en-US" w:eastAsia="zh-CN"/>
              </w:rPr>
            </w:pPr>
            <w:r>
              <w:rPr>
                <w:rFonts w:hint="eastAsia" w:ascii="仿宋_GB2312" w:eastAsia="仿宋_GB2312"/>
                <w:sz w:val="30"/>
                <w:szCs w:val="30"/>
                <w:lang w:val="en-US" w:eastAsia="zh-CN"/>
              </w:rPr>
              <w:t>标准应用试验</w:t>
            </w:r>
          </w:p>
        </w:tc>
      </w:tr>
      <w:tr w14:paraId="5D20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73138AF2">
            <w:pPr>
              <w:rPr>
                <w:rFonts w:hint="default" w:ascii="仿宋_GB2312" w:eastAsia="仿宋_GB2312"/>
                <w:sz w:val="32"/>
                <w:szCs w:val="32"/>
                <w:lang w:val="en-US" w:eastAsia="zh-CN"/>
              </w:rPr>
            </w:pPr>
            <w:r>
              <w:rPr>
                <w:rFonts w:hint="eastAsia" w:ascii="仿宋_GB2312" w:eastAsia="仿宋_GB2312"/>
                <w:sz w:val="32"/>
                <w:szCs w:val="32"/>
                <w:lang w:val="en-US" w:eastAsia="zh-CN"/>
              </w:rPr>
              <w:t>胡新龙</w:t>
            </w:r>
          </w:p>
        </w:tc>
        <w:tc>
          <w:tcPr>
            <w:tcW w:w="900" w:type="dxa"/>
            <w:shd w:val="clear" w:color="auto" w:fill="auto"/>
            <w:noWrap w:val="0"/>
            <w:vAlign w:val="top"/>
          </w:tcPr>
          <w:p w14:paraId="78D9F63E">
            <w:pPr>
              <w:rPr>
                <w:rFonts w:hint="default"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6FEFC7C7">
            <w:pPr>
              <w:rPr>
                <w:rFonts w:hint="default" w:ascii="仿宋_GB2312" w:eastAsia="仿宋_GB2312"/>
                <w:sz w:val="32"/>
                <w:szCs w:val="32"/>
                <w:lang w:val="en-US" w:eastAsia="zh-CN"/>
              </w:rPr>
            </w:pPr>
            <w:r>
              <w:rPr>
                <w:rFonts w:hint="eastAsia" w:ascii="仿宋_GB2312" w:eastAsia="仿宋_GB2312"/>
                <w:sz w:val="32"/>
                <w:szCs w:val="32"/>
                <w:lang w:val="en-US" w:eastAsia="zh-CN"/>
              </w:rPr>
              <w:t>研究员/所长</w:t>
            </w:r>
          </w:p>
        </w:tc>
        <w:tc>
          <w:tcPr>
            <w:tcW w:w="2220" w:type="dxa"/>
            <w:shd w:val="clear" w:color="auto" w:fill="auto"/>
            <w:noWrap w:val="0"/>
            <w:vAlign w:val="top"/>
          </w:tcPr>
          <w:p w14:paraId="07E82B8F">
            <w:pPr>
              <w:rPr>
                <w:rFonts w:hint="eastAsia"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4F55D839">
            <w:pPr>
              <w:rPr>
                <w:rFonts w:hint="eastAsia" w:ascii="仿宋_GB2312" w:eastAsia="仿宋_GB2312"/>
                <w:sz w:val="30"/>
                <w:szCs w:val="30"/>
                <w:lang w:val="en-US" w:eastAsia="zh-CN"/>
              </w:rPr>
            </w:pPr>
            <w:r>
              <w:rPr>
                <w:rFonts w:hint="eastAsia" w:ascii="仿宋_GB2312" w:eastAsia="仿宋_GB2312"/>
                <w:sz w:val="30"/>
                <w:szCs w:val="30"/>
                <w:lang w:val="en-US" w:eastAsia="zh-CN"/>
              </w:rPr>
              <w:t>标准应用试验</w:t>
            </w:r>
          </w:p>
        </w:tc>
      </w:tr>
      <w:tr w14:paraId="1F8C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055120B5">
            <w:pPr>
              <w:rPr>
                <w:rFonts w:hint="default" w:ascii="仿宋_GB2312" w:eastAsia="仿宋_GB2312"/>
                <w:sz w:val="32"/>
                <w:szCs w:val="32"/>
                <w:lang w:val="en-US" w:eastAsia="zh-CN"/>
              </w:rPr>
            </w:pPr>
            <w:r>
              <w:rPr>
                <w:rFonts w:hint="eastAsia" w:ascii="仿宋_GB2312" w:eastAsia="仿宋_GB2312"/>
                <w:sz w:val="32"/>
                <w:szCs w:val="32"/>
                <w:lang w:val="en-US" w:eastAsia="zh-CN"/>
              </w:rPr>
              <w:t>徐雷</w:t>
            </w:r>
          </w:p>
        </w:tc>
        <w:tc>
          <w:tcPr>
            <w:tcW w:w="900" w:type="dxa"/>
            <w:shd w:val="clear" w:color="auto" w:fill="auto"/>
            <w:noWrap w:val="0"/>
            <w:vAlign w:val="top"/>
          </w:tcPr>
          <w:p w14:paraId="2B17C85A">
            <w:pPr>
              <w:rPr>
                <w:rFonts w:hint="default"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073384AF">
            <w:pPr>
              <w:rPr>
                <w:rFonts w:hint="default" w:ascii="仿宋_GB2312" w:eastAsia="仿宋_GB2312"/>
                <w:sz w:val="32"/>
                <w:szCs w:val="32"/>
                <w:lang w:val="en-US" w:eastAsia="zh-CN"/>
              </w:rPr>
            </w:pPr>
            <w:r>
              <w:rPr>
                <w:rFonts w:hint="eastAsia" w:ascii="仿宋_GB2312" w:eastAsia="仿宋_GB2312"/>
                <w:sz w:val="32"/>
                <w:szCs w:val="32"/>
                <w:lang w:val="en-US" w:eastAsia="zh-CN"/>
              </w:rPr>
              <w:t>副研究员</w:t>
            </w:r>
          </w:p>
        </w:tc>
        <w:tc>
          <w:tcPr>
            <w:tcW w:w="2220" w:type="dxa"/>
            <w:shd w:val="clear" w:color="auto" w:fill="auto"/>
            <w:noWrap w:val="0"/>
            <w:vAlign w:val="top"/>
          </w:tcPr>
          <w:p w14:paraId="48F9C540">
            <w:pPr>
              <w:rPr>
                <w:rFonts w:hint="eastAsia"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2942DC2A">
            <w:pPr>
              <w:rPr>
                <w:rFonts w:hint="eastAsia" w:ascii="仿宋_GB2312" w:eastAsia="仿宋_GB2312"/>
                <w:sz w:val="30"/>
                <w:szCs w:val="30"/>
                <w:lang w:val="en-US" w:eastAsia="zh-CN"/>
              </w:rPr>
            </w:pPr>
            <w:r>
              <w:rPr>
                <w:rFonts w:hint="eastAsia" w:ascii="仿宋_GB2312" w:eastAsia="仿宋_GB2312"/>
                <w:sz w:val="30"/>
                <w:szCs w:val="30"/>
                <w:lang w:val="en-US" w:eastAsia="zh-CN"/>
              </w:rPr>
              <w:t>标准应用试验</w:t>
            </w:r>
          </w:p>
        </w:tc>
      </w:tr>
      <w:tr w14:paraId="266E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1BE1E5BB">
            <w:pPr>
              <w:rPr>
                <w:rFonts w:hint="default" w:ascii="仿宋_GB2312" w:eastAsia="仿宋_GB2312"/>
                <w:sz w:val="32"/>
                <w:szCs w:val="32"/>
                <w:lang w:val="en-US" w:eastAsia="zh-CN"/>
              </w:rPr>
            </w:pPr>
            <w:r>
              <w:rPr>
                <w:rFonts w:hint="eastAsia" w:ascii="仿宋_GB2312" w:eastAsia="仿宋_GB2312"/>
                <w:sz w:val="32"/>
                <w:szCs w:val="32"/>
                <w:lang w:val="en-US" w:eastAsia="zh-CN"/>
              </w:rPr>
              <w:t>周超华</w:t>
            </w:r>
          </w:p>
        </w:tc>
        <w:tc>
          <w:tcPr>
            <w:tcW w:w="900" w:type="dxa"/>
            <w:shd w:val="clear" w:color="auto" w:fill="auto"/>
            <w:noWrap w:val="0"/>
            <w:vAlign w:val="top"/>
          </w:tcPr>
          <w:p w14:paraId="023DDACB">
            <w:pPr>
              <w:rPr>
                <w:rFonts w:hint="default"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0A7A982D">
            <w:pPr>
              <w:rPr>
                <w:rFonts w:hint="default" w:ascii="仿宋_GB2312" w:eastAsia="仿宋_GB2312"/>
                <w:sz w:val="32"/>
                <w:szCs w:val="32"/>
                <w:lang w:val="en-US" w:eastAsia="zh-CN"/>
              </w:rPr>
            </w:pPr>
            <w:r>
              <w:rPr>
                <w:rFonts w:hint="eastAsia" w:ascii="仿宋_GB2312" w:eastAsia="仿宋_GB2312"/>
                <w:sz w:val="32"/>
                <w:szCs w:val="32"/>
                <w:lang w:val="en-US" w:eastAsia="zh-CN"/>
              </w:rPr>
              <w:t>研究员/副所长</w:t>
            </w:r>
          </w:p>
        </w:tc>
        <w:tc>
          <w:tcPr>
            <w:tcW w:w="2220" w:type="dxa"/>
            <w:shd w:val="clear" w:color="auto" w:fill="auto"/>
            <w:noWrap w:val="0"/>
            <w:vAlign w:val="top"/>
          </w:tcPr>
          <w:p w14:paraId="31ACD65C">
            <w:pPr>
              <w:rPr>
                <w:rFonts w:hint="eastAsia"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352CEB98">
            <w:pPr>
              <w:rPr>
                <w:rFonts w:hint="default" w:ascii="仿宋_GB2312" w:eastAsia="仿宋_GB2312"/>
                <w:sz w:val="30"/>
                <w:szCs w:val="30"/>
                <w:lang w:val="en-US" w:eastAsia="zh-CN"/>
              </w:rPr>
            </w:pPr>
            <w:r>
              <w:rPr>
                <w:rFonts w:hint="eastAsia" w:ascii="仿宋_GB2312" w:eastAsia="仿宋_GB2312"/>
                <w:sz w:val="30"/>
                <w:szCs w:val="30"/>
                <w:lang w:val="en-US" w:eastAsia="zh-CN"/>
              </w:rPr>
              <w:t>参与标准编制、标准应用试验</w:t>
            </w:r>
          </w:p>
        </w:tc>
      </w:tr>
      <w:tr w14:paraId="16A8D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0D927EEA">
            <w:pPr>
              <w:rPr>
                <w:rFonts w:hint="default" w:ascii="仿宋_GB2312" w:eastAsia="仿宋_GB2312"/>
                <w:sz w:val="32"/>
                <w:szCs w:val="32"/>
                <w:lang w:val="en-US" w:eastAsia="zh-CN"/>
              </w:rPr>
            </w:pPr>
            <w:r>
              <w:rPr>
                <w:rFonts w:hint="eastAsia" w:ascii="仿宋_GB2312" w:eastAsia="仿宋_GB2312"/>
                <w:sz w:val="32"/>
                <w:szCs w:val="32"/>
                <w:lang w:val="en-US" w:eastAsia="zh-CN"/>
              </w:rPr>
              <w:t>张焕欣</w:t>
            </w:r>
          </w:p>
        </w:tc>
        <w:tc>
          <w:tcPr>
            <w:tcW w:w="900" w:type="dxa"/>
            <w:shd w:val="clear" w:color="auto" w:fill="auto"/>
            <w:noWrap w:val="0"/>
            <w:vAlign w:val="top"/>
          </w:tcPr>
          <w:p w14:paraId="1837505C">
            <w:pPr>
              <w:rPr>
                <w:rFonts w:hint="default" w:ascii="仿宋_GB2312" w:eastAsia="仿宋_GB2312"/>
                <w:sz w:val="32"/>
                <w:szCs w:val="32"/>
                <w:lang w:val="en-US" w:eastAsia="zh-CN"/>
              </w:rPr>
            </w:pPr>
            <w:r>
              <w:rPr>
                <w:rFonts w:hint="eastAsia" w:ascii="仿宋_GB2312" w:eastAsia="仿宋_GB2312"/>
                <w:sz w:val="32"/>
                <w:szCs w:val="32"/>
                <w:lang w:val="en-US" w:eastAsia="zh-CN"/>
              </w:rPr>
              <w:t>女</w:t>
            </w:r>
          </w:p>
        </w:tc>
        <w:tc>
          <w:tcPr>
            <w:tcW w:w="1845" w:type="dxa"/>
            <w:shd w:val="clear" w:color="auto" w:fill="auto"/>
            <w:noWrap w:val="0"/>
            <w:vAlign w:val="top"/>
          </w:tcPr>
          <w:p w14:paraId="786B59CA">
            <w:pPr>
              <w:rPr>
                <w:rFonts w:hint="default" w:ascii="仿宋_GB2312" w:eastAsia="仿宋_GB2312"/>
                <w:sz w:val="32"/>
                <w:szCs w:val="32"/>
                <w:lang w:val="en-US" w:eastAsia="zh-CN"/>
              </w:rPr>
            </w:pPr>
            <w:r>
              <w:rPr>
                <w:rFonts w:hint="eastAsia" w:ascii="仿宋_GB2312" w:eastAsia="仿宋_GB2312"/>
                <w:sz w:val="32"/>
                <w:szCs w:val="32"/>
                <w:lang w:val="en-US" w:eastAsia="zh-CN"/>
              </w:rPr>
              <w:t>副研究员</w:t>
            </w:r>
          </w:p>
        </w:tc>
        <w:tc>
          <w:tcPr>
            <w:tcW w:w="2220" w:type="dxa"/>
            <w:shd w:val="clear" w:color="auto" w:fill="auto"/>
            <w:noWrap w:val="0"/>
            <w:vAlign w:val="top"/>
          </w:tcPr>
          <w:p w14:paraId="3673C44A">
            <w:pPr>
              <w:rPr>
                <w:rFonts w:hint="eastAsia" w:ascii="仿宋_GB2312" w:eastAsia="仿宋_GB2312"/>
                <w:sz w:val="32"/>
                <w:szCs w:val="32"/>
                <w:lang w:val="en-US" w:eastAsia="zh-CN"/>
              </w:rPr>
            </w:pPr>
            <w:r>
              <w:rPr>
                <w:rFonts w:hint="eastAsia" w:ascii="仿宋_GB2312" w:eastAsia="仿宋_GB2312"/>
                <w:sz w:val="32"/>
                <w:szCs w:val="32"/>
                <w:lang w:val="en-US" w:eastAsia="zh-CN"/>
              </w:rPr>
              <w:t>江西省农业科学院园艺研究所</w:t>
            </w:r>
          </w:p>
        </w:tc>
        <w:tc>
          <w:tcPr>
            <w:tcW w:w="1936" w:type="dxa"/>
            <w:shd w:val="clear" w:color="auto" w:fill="auto"/>
            <w:noWrap w:val="0"/>
            <w:vAlign w:val="top"/>
          </w:tcPr>
          <w:p w14:paraId="202C3A03">
            <w:pPr>
              <w:rPr>
                <w:rFonts w:hint="default" w:ascii="仿宋_GB2312" w:eastAsia="仿宋_GB2312"/>
                <w:sz w:val="30"/>
                <w:szCs w:val="30"/>
                <w:lang w:val="en-US" w:eastAsia="zh-CN"/>
              </w:rPr>
            </w:pPr>
            <w:r>
              <w:rPr>
                <w:rFonts w:hint="eastAsia" w:ascii="仿宋_GB2312" w:eastAsia="仿宋_GB2312"/>
                <w:sz w:val="30"/>
                <w:szCs w:val="30"/>
                <w:lang w:val="en-US" w:eastAsia="zh-CN"/>
              </w:rPr>
              <w:t>标准应用实验</w:t>
            </w:r>
          </w:p>
        </w:tc>
      </w:tr>
      <w:tr w14:paraId="1E494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noWrap w:val="0"/>
            <w:vAlign w:val="top"/>
          </w:tcPr>
          <w:p w14:paraId="02B54E41">
            <w:pPr>
              <w:rPr>
                <w:rFonts w:hint="default" w:ascii="仿宋_GB2312" w:eastAsia="仿宋_GB2312"/>
                <w:sz w:val="32"/>
                <w:szCs w:val="32"/>
                <w:lang w:val="en-US" w:eastAsia="zh-CN"/>
              </w:rPr>
            </w:pPr>
            <w:r>
              <w:rPr>
                <w:rFonts w:hint="eastAsia" w:ascii="仿宋_GB2312" w:eastAsia="仿宋_GB2312"/>
                <w:sz w:val="32"/>
                <w:szCs w:val="32"/>
                <w:lang w:val="en-US" w:eastAsia="zh-CN"/>
              </w:rPr>
              <w:t>胡永平</w:t>
            </w:r>
          </w:p>
        </w:tc>
        <w:tc>
          <w:tcPr>
            <w:tcW w:w="900" w:type="dxa"/>
            <w:shd w:val="clear" w:color="auto" w:fill="auto"/>
            <w:noWrap w:val="0"/>
            <w:vAlign w:val="top"/>
          </w:tcPr>
          <w:p w14:paraId="6144207A">
            <w:pPr>
              <w:rPr>
                <w:rFonts w:hint="default" w:ascii="仿宋_GB2312" w:eastAsia="仿宋_GB2312"/>
                <w:sz w:val="32"/>
                <w:szCs w:val="32"/>
                <w:lang w:val="en-US" w:eastAsia="zh-CN"/>
              </w:rPr>
            </w:pPr>
            <w:r>
              <w:rPr>
                <w:rFonts w:hint="eastAsia" w:ascii="仿宋_GB2312" w:eastAsia="仿宋_GB2312"/>
                <w:sz w:val="32"/>
                <w:szCs w:val="32"/>
                <w:lang w:val="en-US" w:eastAsia="zh-CN"/>
              </w:rPr>
              <w:t>男</w:t>
            </w:r>
          </w:p>
        </w:tc>
        <w:tc>
          <w:tcPr>
            <w:tcW w:w="1845" w:type="dxa"/>
            <w:shd w:val="clear" w:color="auto" w:fill="auto"/>
            <w:noWrap w:val="0"/>
            <w:vAlign w:val="top"/>
          </w:tcPr>
          <w:p w14:paraId="600805B3">
            <w:pPr>
              <w:rPr>
                <w:rFonts w:hint="default" w:ascii="仿宋_GB2312" w:eastAsia="仿宋_GB2312"/>
                <w:sz w:val="32"/>
                <w:szCs w:val="32"/>
                <w:lang w:val="en-US" w:eastAsia="zh-CN"/>
              </w:rPr>
            </w:pPr>
            <w:r>
              <w:rPr>
                <w:rFonts w:hint="eastAsia" w:ascii="仿宋_GB2312" w:eastAsia="仿宋_GB2312"/>
                <w:sz w:val="32"/>
                <w:szCs w:val="32"/>
                <w:lang w:val="en-US" w:eastAsia="zh-CN"/>
              </w:rPr>
              <w:t>农艺师</w:t>
            </w:r>
          </w:p>
        </w:tc>
        <w:tc>
          <w:tcPr>
            <w:tcW w:w="2220" w:type="dxa"/>
            <w:shd w:val="clear" w:color="auto" w:fill="auto"/>
            <w:noWrap w:val="0"/>
            <w:vAlign w:val="top"/>
          </w:tcPr>
          <w:p w14:paraId="6A4D0EB2">
            <w:pPr>
              <w:rPr>
                <w:rFonts w:hint="default" w:ascii="仿宋_GB2312" w:eastAsia="仿宋_GB2312"/>
                <w:sz w:val="32"/>
                <w:szCs w:val="32"/>
                <w:lang w:val="en-US" w:eastAsia="zh-CN"/>
              </w:rPr>
            </w:pPr>
            <w:r>
              <w:rPr>
                <w:rFonts w:hint="eastAsia" w:ascii="仿宋_GB2312" w:eastAsia="仿宋_GB2312"/>
                <w:sz w:val="32"/>
                <w:szCs w:val="32"/>
                <w:lang w:val="en-US" w:eastAsia="zh-CN"/>
              </w:rPr>
              <w:t>永丰县谭城办农业办</w:t>
            </w:r>
          </w:p>
        </w:tc>
        <w:tc>
          <w:tcPr>
            <w:tcW w:w="1936" w:type="dxa"/>
            <w:shd w:val="clear" w:color="auto" w:fill="auto"/>
            <w:noWrap w:val="0"/>
            <w:vAlign w:val="top"/>
          </w:tcPr>
          <w:p w14:paraId="13B99C87">
            <w:pPr>
              <w:rPr>
                <w:rFonts w:hint="eastAsia" w:ascii="仿宋_GB2312" w:eastAsia="仿宋_GB2312"/>
                <w:sz w:val="30"/>
                <w:szCs w:val="30"/>
                <w:lang w:val="en-US" w:eastAsia="zh-CN"/>
              </w:rPr>
            </w:pPr>
            <w:r>
              <w:rPr>
                <w:rFonts w:hint="eastAsia" w:ascii="仿宋_GB2312" w:eastAsia="仿宋_GB2312"/>
                <w:sz w:val="30"/>
                <w:szCs w:val="30"/>
                <w:lang w:val="en-US" w:eastAsia="zh-CN"/>
              </w:rPr>
              <w:t>标准应用试验</w:t>
            </w:r>
          </w:p>
        </w:tc>
      </w:tr>
    </w:tbl>
    <w:p w14:paraId="35CFBBA5">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制定（修订）标准的必要性和意义</w:t>
      </w:r>
    </w:p>
    <w:p w14:paraId="409339C9">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600" w:firstLineChars="200"/>
        <w:textAlignment w:val="auto"/>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葡萄是葡萄科葡萄属多年生木质藤本作物，其果实味美、多汁，具有软化血管、消炎及美容等功效，在市场上广受欢迎。据国家统计局数据显示，我省葡萄产业面积近14.07万亩（2022年），占全国比重1.33%；葡萄产量11.58万吨（2022年），占全国比重0.75%；总体位列我国第21位。高温多湿的气候条件使得江西葡萄栽培必须采用避雨栽培，否则病虫害发生严重，严重影响果实产量及品质，影响果农收益。然而，关于江西葡萄避雨栽培技术规程还未见记载，多数企业依靠自身经验及外来人员来指导果园生产，但不同地区自然环境条件不同，这使得外来的生产技术不一定适用于本地生产。此外，2024年，中共江西省委、江西省政府印发了《关于学习运用“千村示范、千万整治”工程经验有力有效推进乡村全面振兴的实施意见》，文件指出：“统筹发展一批柑橘、茶叶、葡萄等设施葡萄种植产区”，该文件明确了葡萄设施种植产区发展的紧迫性。</w:t>
      </w:r>
    </w:p>
    <w:p w14:paraId="00C3D8AF">
      <w:pPr>
        <w:keepNext w:val="0"/>
        <w:keepLines w:val="0"/>
        <w:pageBreakBefore w:val="0"/>
        <w:widowControl w:val="0"/>
        <w:numPr>
          <w:ilvl w:val="0"/>
          <w:numId w:val="0"/>
        </w:numPr>
        <w:kinsoku/>
        <w:wordWrap/>
        <w:overflowPunct/>
        <w:topLinePunct w:val="0"/>
        <w:autoSpaceDE/>
        <w:autoSpaceDN/>
        <w:bidi w:val="0"/>
        <w:adjustRightInd/>
        <w:snapToGrid/>
        <w:spacing w:line="264" w:lineRule="auto"/>
        <w:ind w:leftChars="0" w:firstLine="600" w:firstLineChars="200"/>
        <w:textAlignment w:val="auto"/>
        <w:rPr>
          <w:rFonts w:hint="eastAsia" w:ascii="黑体" w:hAnsi="黑体" w:eastAsia="黑体" w:cs="黑体"/>
          <w:sz w:val="32"/>
          <w:szCs w:val="32"/>
          <w:lang w:val="en-US" w:eastAsia="zh-CN"/>
        </w:rPr>
      </w:pPr>
      <w:r>
        <w:rPr>
          <w:rFonts w:hint="eastAsia" w:ascii="Times New Roman" w:hAnsi="Times New Roman" w:eastAsia="仿宋_GB2312" w:cs="Times New Roman"/>
          <w:sz w:val="30"/>
          <w:szCs w:val="30"/>
          <w:lang w:val="en-US" w:eastAsia="zh-CN"/>
        </w:rPr>
        <w:t>本技术规程分别从建园、建园当年管理、成年树主要物候期管理及病虫害防治等方面详细介绍我省葡萄栽培细节要点，对指导我省葡萄健康栽培具有重要指导意义，同时，本标准的制定将发展设施葡萄种植产区提供文件遵循，是一项可遵循并指导运用田间的技术规范，对落实江西省委一号文件有重要的推动意义。</w:t>
      </w:r>
    </w:p>
    <w:p w14:paraId="3C06CAF3">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主要起草过程</w:t>
      </w:r>
    </w:p>
    <w:p w14:paraId="26AEC34A">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left"/>
        <w:textAlignment w:val="auto"/>
        <w:rPr>
          <w:rFonts w:hint="default" w:ascii="黑体" w:hAnsi="黑体" w:eastAsia="黑体" w:cs="黑体"/>
          <w:sz w:val="32"/>
          <w:szCs w:val="32"/>
          <w:lang w:val="en-US" w:eastAsia="zh-CN"/>
        </w:rPr>
      </w:pPr>
      <w:r>
        <w:rPr>
          <w:rFonts w:hint="eastAsia" w:ascii="Times New Roman" w:hAnsi="Times New Roman" w:eastAsia="仿宋_GB2312" w:cs="Times New Roman"/>
          <w:sz w:val="30"/>
          <w:szCs w:val="30"/>
          <w:lang w:val="en-US" w:eastAsia="zh-CN"/>
        </w:rPr>
        <w:t>为做好本标准的起草工作，编制小组提前与江西省农业技术推广中心取得联系，并调研相关技术产业概况，先后多次赴吉安县农业产业发展中心调研讨论，另赴江西同能生态农业有限公司、井冈山市石陂生态葡萄园、吉安县园艺场、九江三叠泉葡萄园、新余李细牙葡萄园等开展调研，综合现有基地管理经验，及本单位多年来的技术凝练总结，最终确定了本规程的编写提纲、规程内容、技术要求和指标。明确了标准的适用范围、规范性应用文件、术语和定义、主要技术内容等。</w:t>
      </w:r>
    </w:p>
    <w:p w14:paraId="7F6D3051">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制定（修订）标准的原则和依据，与现行法律、法规、标准的关系</w:t>
      </w:r>
    </w:p>
    <w:p w14:paraId="6BFBF10B">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黑体" w:hAnsi="黑体" w:eastAsia="黑体" w:cs="黑体"/>
          <w:sz w:val="32"/>
          <w:szCs w:val="32"/>
          <w:lang w:val="en-US" w:eastAsia="zh-CN"/>
        </w:rPr>
      </w:pPr>
      <w:r>
        <w:rPr>
          <w:rFonts w:hint="eastAsia" w:ascii="Times New Roman" w:hAnsi="Times New Roman" w:eastAsia="仿宋_GB2312" w:cs="Times New Roman"/>
          <w:sz w:val="30"/>
          <w:szCs w:val="30"/>
          <w:lang w:val="en-US" w:eastAsia="zh-CN"/>
        </w:rPr>
        <w:t>本标准规定的各项技术来源于大量的试验论证和多年的经验总结，在标准的内容上力求完整而统一，确保内容覆盖整个葡萄避雨栽培技术全过程，在撰写时力</w:t>
      </w:r>
      <w:r>
        <w:rPr>
          <w:rFonts w:hint="eastAsia" w:ascii="仿宋" w:hAnsi="仿宋" w:eastAsia="仿宋" w:cs="仿宋"/>
          <w:sz w:val="30"/>
          <w:szCs w:val="30"/>
        </w:rPr>
        <w:t>求标准内容简单明了、适用、实用，同时，标准内容和技术要求严格遵守我国法律法规及相关规章制度的要求，注意与相关法律、法规、文件等相互衔接与协调，避免发生冲突，体现了标准起草的科学性、先进性、规范性、可操作性以及实践性原则。</w:t>
      </w:r>
      <w:r>
        <w:rPr>
          <w:rFonts w:hint="eastAsia" w:ascii="仿宋" w:hAnsi="仿宋" w:eastAsia="仿宋" w:cs="仿宋"/>
          <w:sz w:val="30"/>
          <w:szCs w:val="30"/>
          <w:lang w:val="en-US" w:eastAsia="zh-CN"/>
        </w:rPr>
        <w:t>此外，本标准在基于符合现有标准技术要求的前提下，力求做到与其它标准的相互协调，创新性融合适用于江西地区的葡萄栽培技术，符合标准制定的协调性和适用性原则。</w:t>
      </w:r>
    </w:p>
    <w:p w14:paraId="47D9B367">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主要条款的说明</w:t>
      </w:r>
    </w:p>
    <w:p w14:paraId="69D35A6D">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本标准内容主要分为4个部分：建园、建园当年管理、主要物候期管理和主要病虫害及防治方法。</w:t>
      </w:r>
    </w:p>
    <w:p w14:paraId="23F0B296">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1.范围</w:t>
      </w:r>
    </w:p>
    <w:p w14:paraId="34EEB2F4">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本文件规定了葡萄避雨栽培生产环节中的建园、定植、建园当年管理、葡萄主要物候期管理、病虫害防控及生产档案。适用于农业企业、合作社、家庭农场等规模生产主体开展葡萄避雨栽培技术遵循，其它生产主体可参照使用。</w:t>
      </w:r>
    </w:p>
    <w:p w14:paraId="6687A07E">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2.规范性引用文件</w:t>
      </w:r>
    </w:p>
    <w:p w14:paraId="22BE3867">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本规程在适用性及需求性原则下，共计引用了相关的6个标准，引用的标准和条例基本覆盖了葡萄避雨栽培相关技术要求。</w:t>
      </w:r>
    </w:p>
    <w:p w14:paraId="2EE6E3CF">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3.术语和定义</w:t>
      </w:r>
    </w:p>
    <w:p w14:paraId="224CA163">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本章中在兼容性原则下，规定了高干小“V”形叶幕、高安“厂”字形叶幕等术语，这些术语和定义适用于本标准。另外，本标准按照GB/T 1.1-2020《标准化工作导则 第1部分：标准化文件的结构的起草规则》的规定起草，以确保标准结构和形式的准确性。</w:t>
      </w:r>
    </w:p>
    <w:p w14:paraId="3A611ABF">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4.葡萄避雨栽培技术要点</w:t>
      </w:r>
    </w:p>
    <w:p w14:paraId="60797BBB">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该部分主要对葡萄避雨栽培的建园、定植、建园当年管理、葡萄主要物候期管理、病虫害防控及生产档案等方面进行了规范，力求各个环节的技术要求做到科学性、规范性、实用性和可操作性。</w:t>
      </w:r>
    </w:p>
    <w:p w14:paraId="73ABA910">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重大意见分歧的处理依据和结果</w:t>
      </w:r>
    </w:p>
    <w:p w14:paraId="51CF792F">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无</w:t>
      </w:r>
    </w:p>
    <w:p w14:paraId="6CE778EC">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采用国际标准或国外先进标准的，说明采标程度，以及国内外同类标准水平的对比情况</w:t>
      </w:r>
    </w:p>
    <w:p w14:paraId="4EDB8E7C">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目前</w:t>
      </w:r>
      <w:r>
        <w:rPr>
          <w:rFonts w:hint="eastAsia" w:ascii="Times New Roman" w:hAnsi="Times New Roman" w:eastAsia="仿宋_GB2312" w:cs="Times New Roman"/>
          <w:sz w:val="30"/>
          <w:szCs w:val="30"/>
          <w:lang w:val="en-US" w:eastAsia="zh-CN"/>
        </w:rPr>
        <w:t>江西</w:t>
      </w:r>
      <w:r>
        <w:rPr>
          <w:rFonts w:hint="default" w:ascii="Times New Roman" w:hAnsi="Times New Roman" w:eastAsia="仿宋_GB2312" w:cs="Times New Roman"/>
          <w:sz w:val="30"/>
          <w:szCs w:val="30"/>
          <w:lang w:val="en-US" w:eastAsia="zh-CN"/>
        </w:rPr>
        <w:t>关于葡萄避雨栽培技术规程还未见记载，本标准的部分内容制定参照但不同于阳光玫瑰葡萄避雨栽培技术规程（DB1408/T 009）。</w:t>
      </w:r>
    </w:p>
    <w:p w14:paraId="577C7996">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作为推荐性或强制性标准的建议及其理由</w:t>
      </w:r>
    </w:p>
    <w:p w14:paraId="5D5DB4BD">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黑体" w:hAnsi="黑体" w:eastAsia="黑体" w:cs="黑体"/>
          <w:b w:val="0"/>
          <w:bCs w:val="0"/>
          <w:sz w:val="32"/>
          <w:szCs w:val="32"/>
          <w:lang w:val="en-US" w:eastAsia="zh-CN"/>
        </w:rPr>
      </w:pPr>
      <w:r>
        <w:rPr>
          <w:rFonts w:hint="default" w:ascii="Times New Roman" w:hAnsi="Times New Roman" w:eastAsia="仿宋_GB2312" w:cs="Times New Roman"/>
          <w:sz w:val="30"/>
          <w:szCs w:val="30"/>
          <w:lang w:val="en-US" w:eastAsia="zh-CN"/>
        </w:rPr>
        <w:t>本标准从建园到架式设计、建园当年管理、主要物候期管理、病虫害防治等各方面给出了可实施栽培指导建议，</w:t>
      </w:r>
      <w:r>
        <w:rPr>
          <w:rFonts w:hint="eastAsia" w:ascii="Times New Roman" w:hAnsi="Times New Roman" w:eastAsia="仿宋_GB2312" w:cs="Times New Roman"/>
          <w:sz w:val="30"/>
          <w:szCs w:val="30"/>
          <w:lang w:val="en-US" w:eastAsia="zh-CN"/>
        </w:rPr>
        <w:t>对我省统筹发展一批设施葡萄种植产区具有重要指导意义。此外，</w:t>
      </w:r>
      <w:r>
        <w:rPr>
          <w:rFonts w:hint="default" w:ascii="Times New Roman" w:hAnsi="Times New Roman" w:eastAsia="仿宋_GB2312" w:cs="Times New Roman"/>
          <w:sz w:val="30"/>
          <w:szCs w:val="30"/>
          <w:lang w:val="en-US" w:eastAsia="zh-CN"/>
        </w:rPr>
        <w:t>这也是本单位多年来技术凝练总结，</w:t>
      </w:r>
      <w:r>
        <w:rPr>
          <w:rFonts w:hint="eastAsia" w:ascii="Times New Roman" w:hAnsi="Times New Roman" w:eastAsia="仿宋_GB2312" w:cs="Times New Roman"/>
          <w:sz w:val="30"/>
          <w:szCs w:val="30"/>
          <w:lang w:val="en-US" w:eastAsia="zh-CN"/>
        </w:rPr>
        <w:t>具有</w:t>
      </w:r>
      <w:r>
        <w:rPr>
          <w:rFonts w:hint="default" w:ascii="Times New Roman" w:hAnsi="Times New Roman" w:eastAsia="仿宋_GB2312" w:cs="Times New Roman"/>
          <w:sz w:val="30"/>
          <w:szCs w:val="30"/>
          <w:lang w:val="en-US" w:eastAsia="zh-CN"/>
        </w:rPr>
        <w:t>较好的稳定示范效果</w:t>
      </w:r>
      <w:r>
        <w:rPr>
          <w:rFonts w:hint="eastAsia" w:ascii="Times New Roman" w:hAnsi="Times New Roman" w:eastAsia="仿宋_GB2312" w:cs="Times New Roman"/>
          <w:sz w:val="30"/>
          <w:szCs w:val="30"/>
          <w:lang w:val="en-US" w:eastAsia="zh-CN"/>
        </w:rPr>
        <w:t>，此标准的制定实施可</w:t>
      </w:r>
      <w:r>
        <w:rPr>
          <w:rFonts w:hint="default" w:ascii="Times New Roman" w:hAnsi="Times New Roman" w:eastAsia="仿宋_GB2312" w:cs="Times New Roman"/>
          <w:sz w:val="30"/>
          <w:szCs w:val="30"/>
          <w:lang w:val="en-US" w:eastAsia="zh-CN"/>
        </w:rPr>
        <w:t>有效规避企业个体化的盲目自发性种植，减去不必要的</w:t>
      </w:r>
      <w:bookmarkStart w:id="0" w:name="_GoBack"/>
      <w:bookmarkEnd w:id="0"/>
      <w:r>
        <w:rPr>
          <w:rFonts w:hint="default" w:ascii="Times New Roman" w:hAnsi="Times New Roman" w:eastAsia="仿宋_GB2312" w:cs="Times New Roman"/>
          <w:sz w:val="30"/>
          <w:szCs w:val="30"/>
          <w:lang w:val="en-US" w:eastAsia="zh-CN"/>
        </w:rPr>
        <w:t>时间成本和机会成本，推动葡萄果业在我省的蓬勃发展，助力</w:t>
      </w:r>
      <w:r>
        <w:rPr>
          <w:rFonts w:hint="eastAsia" w:ascii="Times New Roman" w:hAnsi="Times New Roman" w:eastAsia="仿宋_GB2312" w:cs="Times New Roman"/>
          <w:sz w:val="30"/>
          <w:szCs w:val="30"/>
          <w:lang w:val="en-US" w:eastAsia="zh-CN"/>
        </w:rPr>
        <w:t>我省</w:t>
      </w:r>
      <w:r>
        <w:rPr>
          <w:rFonts w:hint="default" w:ascii="Times New Roman" w:hAnsi="Times New Roman" w:eastAsia="仿宋_GB2312" w:cs="Times New Roman"/>
          <w:sz w:val="30"/>
          <w:szCs w:val="30"/>
          <w:lang w:val="en-US" w:eastAsia="zh-CN"/>
        </w:rPr>
        <w:t>乡村振兴。</w:t>
      </w:r>
    </w:p>
    <w:p w14:paraId="3DA091D3">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贯彻标准的措施建议和预测效果</w:t>
      </w:r>
    </w:p>
    <w:p w14:paraId="37FCAED1">
      <w:pPr>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bCs/>
          <w:sz w:val="30"/>
          <w:szCs w:val="30"/>
          <w:lang w:val="en-US" w:eastAsia="zh-CN"/>
        </w:rPr>
      </w:pPr>
      <w:r>
        <w:rPr>
          <w:rFonts w:hint="eastAsia" w:ascii="仿宋" w:hAnsi="仿宋" w:eastAsia="仿宋" w:cs="仿宋"/>
          <w:bCs/>
          <w:sz w:val="30"/>
          <w:szCs w:val="30"/>
        </w:rPr>
        <w:t>本标准的实施，有利于规范</w:t>
      </w:r>
      <w:r>
        <w:rPr>
          <w:rFonts w:hint="eastAsia" w:ascii="仿宋" w:hAnsi="仿宋" w:eastAsia="仿宋" w:cs="仿宋"/>
          <w:bCs/>
          <w:sz w:val="30"/>
          <w:szCs w:val="30"/>
          <w:lang w:val="en-US" w:eastAsia="zh-CN"/>
        </w:rPr>
        <w:t>江西地区葡萄的避雨栽培，确保各项技术流程的规范化，为落实2024年江西省委一号文件提供标准依据，适用于各科研事业单位、企业农场主、个体户等涉及葡萄生产的种植户，建议《葡萄避雨栽培技术规程》地方标准作为推荐性标准发布实施。</w:t>
      </w:r>
    </w:p>
    <w:p w14:paraId="13BC0351">
      <w:pPr>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default" w:ascii="黑体" w:hAnsi="黑体" w:eastAsia="黑体" w:cs="黑体"/>
          <w:b w:val="0"/>
          <w:bCs w:val="0"/>
          <w:sz w:val="32"/>
          <w:szCs w:val="32"/>
          <w:lang w:val="en-US" w:eastAsia="zh-CN"/>
        </w:rPr>
      </w:pPr>
      <w:r>
        <w:rPr>
          <w:rFonts w:hint="eastAsia" w:ascii="仿宋" w:hAnsi="仿宋" w:eastAsia="仿宋" w:cs="仿宋"/>
          <w:bCs/>
          <w:sz w:val="30"/>
          <w:szCs w:val="30"/>
        </w:rPr>
        <w:t>本标准颁布后，起草单位将继续就此项技术开展示范和培训，进行多方位宣传，建立示范点，在江西省加以推广应用</w:t>
      </w:r>
      <w:r>
        <w:rPr>
          <w:rFonts w:hint="eastAsia" w:ascii="仿宋" w:hAnsi="仿宋" w:eastAsia="仿宋" w:cs="仿宋"/>
          <w:bCs/>
          <w:sz w:val="30"/>
          <w:szCs w:val="30"/>
          <w:lang w:eastAsia="zh-CN"/>
        </w:rPr>
        <w:t>。</w:t>
      </w:r>
    </w:p>
    <w:p w14:paraId="23EDBBF3">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其他应说明的事项 </w:t>
      </w:r>
    </w:p>
    <w:p w14:paraId="2D92AE12">
      <w:pPr>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无</w:t>
      </w:r>
    </w:p>
    <w:p w14:paraId="501100F9">
      <w:pPr>
        <w:jc w:val="center"/>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 xml:space="preserve">                      《葡萄避雨栽培技术规程》标准编制组</w:t>
      </w:r>
    </w:p>
    <w:p w14:paraId="7103EC24">
      <w:pPr>
        <w:jc w:val="center"/>
        <w:rPr>
          <w:rFonts w:hint="default" w:ascii="仿宋" w:hAnsi="仿宋" w:eastAsia="仿宋" w:cs="仿宋"/>
          <w:bCs/>
          <w:sz w:val="30"/>
          <w:szCs w:val="30"/>
          <w:lang w:val="en-US" w:eastAsia="zh-CN"/>
        </w:rPr>
      </w:pPr>
      <w:r>
        <w:rPr>
          <w:rFonts w:hint="eastAsia" w:ascii="仿宋" w:hAnsi="仿宋" w:eastAsia="仿宋" w:cs="仿宋"/>
          <w:bCs/>
          <w:sz w:val="30"/>
          <w:szCs w:val="30"/>
          <w:lang w:val="en-US" w:eastAsia="zh-CN"/>
        </w:rPr>
        <w:t xml:space="preserve">                                      </w:t>
      </w:r>
      <w:r>
        <w:rPr>
          <w:rFonts w:hint="eastAsia" w:ascii="仿宋_GB2312" w:eastAsia="仿宋_GB2312"/>
          <w:sz w:val="32"/>
          <w:szCs w:val="32"/>
        </w:rPr>
        <w:t>二○二</w:t>
      </w:r>
      <w:r>
        <w:rPr>
          <w:rFonts w:hint="eastAsia" w:ascii="仿宋_GB2312" w:eastAsia="仿宋_GB2312"/>
          <w:sz w:val="32"/>
          <w:szCs w:val="32"/>
          <w:lang w:val="en-US" w:eastAsia="zh-CN"/>
        </w:rPr>
        <w:t>四</w:t>
      </w:r>
      <w:r>
        <w:rPr>
          <w:rFonts w:hint="eastAsia" w:ascii="仿宋" w:hAnsi="仿宋" w:eastAsia="仿宋" w:cs="仿宋"/>
          <w:bCs/>
          <w:sz w:val="30"/>
          <w:szCs w:val="30"/>
          <w:lang w:val="en-US" w:eastAsia="zh-CN"/>
        </w:rPr>
        <w:t>年十二月</w:t>
      </w:r>
    </w:p>
    <w:p w14:paraId="573A8002">
      <w:pPr>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default" w:ascii="仿宋" w:hAnsi="仿宋" w:eastAsia="仿宋" w:cs="仿宋"/>
          <w:bCs/>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681745-B3B4-4D06-AB22-0B36691B3B2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77F8C1D-9204-4490-AE23-D10F66D6AC95}"/>
  </w:font>
  <w:font w:name="方正小标宋简体">
    <w:panose1 w:val="02000000000000000000"/>
    <w:charset w:val="86"/>
    <w:family w:val="auto"/>
    <w:pitch w:val="default"/>
    <w:sig w:usb0="00000001" w:usb1="08000000" w:usb2="00000000" w:usb3="00000000" w:csb0="00040000" w:csb1="00000000"/>
    <w:embedRegular r:id="rId3" w:fontKey="{C0D53A08-C622-46C2-92C6-49261CA91318}"/>
  </w:font>
  <w:font w:name="仿宋_GB2312">
    <w:altName w:val="仿宋"/>
    <w:panose1 w:val="02010609030101010101"/>
    <w:charset w:val="86"/>
    <w:family w:val="modern"/>
    <w:pitch w:val="default"/>
    <w:sig w:usb0="00000000" w:usb1="00000000" w:usb2="00000010" w:usb3="00000000" w:csb0="00040000" w:csb1="00000000"/>
    <w:embedRegular r:id="rId4" w:fontKey="{04B4D071-085F-4A6E-9045-BC4C18575DD7}"/>
  </w:font>
  <w:font w:name="仿宋">
    <w:panose1 w:val="02010609060101010101"/>
    <w:charset w:val="86"/>
    <w:family w:val="auto"/>
    <w:pitch w:val="default"/>
    <w:sig w:usb0="800002BF" w:usb1="38CF7CFA" w:usb2="00000016" w:usb3="00000000" w:csb0="00040001" w:csb1="00000000"/>
    <w:embedRegular r:id="rId5" w:fontKey="{B49A23D2-23DB-4D47-B47B-99980E7255D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BA752"/>
    <w:multiLevelType w:val="singleLevel"/>
    <w:tmpl w:val="A4BBA7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40599"/>
    <w:rsid w:val="0FD24A12"/>
    <w:rsid w:val="2533569C"/>
    <w:rsid w:val="3DD40599"/>
    <w:rsid w:val="475541B6"/>
    <w:rsid w:val="69446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2523</Words>
  <Characters>2585</Characters>
  <Lines>0</Lines>
  <Paragraphs>0</Paragraphs>
  <TotalTime>1</TotalTime>
  <ScaleCrop>false</ScaleCrop>
  <LinksUpToDate>false</LinksUpToDate>
  <CharactersWithSpaces>2650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2024-12-25T01:44:00Z</dcterms:created>
  <dc:creator>啊啊啊啊</dc:creator>
  <cp:lastModifiedBy>陈星瞳</cp:lastModifiedBy>
  <dcterms:modified xsi:type="dcterms:W3CDTF">2024-12-26T02:26:49Z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40E26AAF073344A4839D76CCFABECAF6_13</vt:lpwstr>
  </property>
</Properties>
</file>